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C9" w:rsidRDefault="008E1DC9" w:rsidP="001037B7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73349D" w:rsidRDefault="0073349D" w:rsidP="001037B7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73349D">
        <w:rPr>
          <w:rFonts w:ascii="方正小标宋简体" w:eastAsia="方正小标宋简体" w:hAnsi="黑体" w:cs="黑体" w:hint="eastAsia"/>
          <w:sz w:val="36"/>
          <w:szCs w:val="36"/>
        </w:rPr>
        <w:t>2017年度</w:t>
      </w:r>
      <w:r w:rsidR="008E1DC9" w:rsidRPr="0073349D">
        <w:rPr>
          <w:rFonts w:ascii="方正小标宋简体" w:eastAsia="方正小标宋简体" w:hAnsi="黑体" w:cs="黑体" w:hint="eastAsia"/>
          <w:sz w:val="36"/>
          <w:szCs w:val="36"/>
        </w:rPr>
        <w:t>深圳市重点工业企业扩产增效奖励</w:t>
      </w:r>
    </w:p>
    <w:p w:rsidR="008E1DC9" w:rsidRPr="0073349D" w:rsidRDefault="008E1DC9" w:rsidP="0073349D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73349D">
        <w:rPr>
          <w:rFonts w:ascii="方正小标宋简体" w:eastAsia="方正小标宋简体" w:hAnsi="黑体" w:cs="黑体" w:hint="eastAsia"/>
          <w:sz w:val="36"/>
          <w:szCs w:val="36"/>
        </w:rPr>
        <w:t>项目申请指南</w:t>
      </w:r>
    </w:p>
    <w:p w:rsidR="008E1DC9" w:rsidRDefault="008E1DC9">
      <w:pPr>
        <w:rPr>
          <w:rFonts w:cs="Times New Roman"/>
        </w:rPr>
      </w:pPr>
    </w:p>
    <w:p w:rsidR="008E1DC9" w:rsidRPr="004A75D5" w:rsidRDefault="008E1DC9" w:rsidP="0065166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A75D5">
        <w:rPr>
          <w:rFonts w:ascii="黑体" w:eastAsia="黑体" w:hAnsi="黑体" w:cs="黑体" w:hint="eastAsia"/>
          <w:sz w:val="32"/>
          <w:szCs w:val="32"/>
        </w:rPr>
        <w:t>一、支持领域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t>支持我市重点工业企业在深圳增资扩产，扩大生产规模，提高生产效率，鼓励企业做大做强。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A75D5">
        <w:rPr>
          <w:rFonts w:ascii="黑体" w:eastAsia="黑体" w:hAnsi="黑体" w:cs="黑体" w:hint="eastAsia"/>
          <w:sz w:val="32"/>
          <w:szCs w:val="32"/>
        </w:rPr>
        <w:t>二、设定依据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/>
          <w:sz w:val="32"/>
          <w:szCs w:val="32"/>
        </w:rPr>
        <w:t>1.</w:t>
      </w:r>
      <w:r w:rsidRPr="004A75D5">
        <w:rPr>
          <w:rFonts w:ascii="仿宋_GB2312" w:eastAsia="仿宋_GB2312" w:cs="仿宋_GB2312" w:hint="eastAsia"/>
          <w:sz w:val="32"/>
          <w:szCs w:val="32"/>
        </w:rPr>
        <w:t>《中共深圳市委</w:t>
      </w:r>
      <w:r w:rsidRPr="004A75D5">
        <w:rPr>
          <w:rFonts w:ascii="仿宋_GB2312" w:eastAsia="仿宋_GB2312" w:cs="仿宋_GB2312"/>
          <w:sz w:val="32"/>
          <w:szCs w:val="32"/>
        </w:rPr>
        <w:t xml:space="preserve"> </w:t>
      </w:r>
      <w:r w:rsidRPr="004A75D5">
        <w:rPr>
          <w:rFonts w:ascii="仿宋_GB2312" w:eastAsia="仿宋_GB2312" w:cs="仿宋_GB2312" w:hint="eastAsia"/>
          <w:sz w:val="32"/>
          <w:szCs w:val="32"/>
        </w:rPr>
        <w:t>深圳市人民政府印发关于支持企业提升竞争力的若干措施的通知》（深发</w:t>
      </w:r>
      <w:r w:rsidRPr="004A75D5">
        <w:rPr>
          <w:rFonts w:ascii="仿宋_GB2312" w:eastAsia="仿宋_GB2312" w:cs="仿宋_GB2312"/>
          <w:sz w:val="32"/>
          <w:szCs w:val="32"/>
        </w:rPr>
        <w:t>[2016]8</w:t>
      </w:r>
      <w:r w:rsidRPr="004A75D5">
        <w:rPr>
          <w:rFonts w:ascii="仿宋_GB2312" w:eastAsia="仿宋_GB2312" w:cs="仿宋_GB2312" w:hint="eastAsia"/>
          <w:sz w:val="32"/>
          <w:szCs w:val="32"/>
        </w:rPr>
        <w:t>号）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/>
          <w:sz w:val="32"/>
          <w:szCs w:val="32"/>
        </w:rPr>
        <w:t xml:space="preserve">2. </w:t>
      </w:r>
      <w:r w:rsidRPr="004A75D5">
        <w:rPr>
          <w:rFonts w:ascii="仿宋_GB2312" w:eastAsia="仿宋_GB2312" w:cs="仿宋_GB2312" w:hint="eastAsia"/>
          <w:sz w:val="32"/>
          <w:szCs w:val="32"/>
        </w:rPr>
        <w:t>市支持企业提升竞争力战略领导小组办公室关于印发《关于支持企业提升竞争力的若干措施实施细则》的通知（深经贸信息综合字</w:t>
      </w:r>
      <w:r w:rsidRPr="004A75D5">
        <w:rPr>
          <w:rFonts w:ascii="仿宋_GB2312" w:eastAsia="仿宋_GB2312" w:cs="仿宋_GB2312"/>
          <w:sz w:val="32"/>
          <w:szCs w:val="32"/>
        </w:rPr>
        <w:t>[2016]149</w:t>
      </w:r>
      <w:r w:rsidRPr="004A75D5">
        <w:rPr>
          <w:rFonts w:ascii="仿宋_GB2312" w:eastAsia="仿宋_GB2312" w:cs="仿宋_GB2312" w:hint="eastAsia"/>
          <w:sz w:val="32"/>
          <w:szCs w:val="32"/>
        </w:rPr>
        <w:t>号）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A75D5">
        <w:rPr>
          <w:rFonts w:ascii="黑体" w:eastAsia="黑体" w:hAnsi="黑体" w:cs="黑体" w:hint="eastAsia"/>
          <w:sz w:val="32"/>
          <w:szCs w:val="32"/>
        </w:rPr>
        <w:t>三、申报条件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t>申请企业必须同时符合以下条件：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t>（一）申报企业为在我市依法注册的法人</w:t>
      </w:r>
      <w:r w:rsidR="0073349D" w:rsidRPr="004A75D5">
        <w:rPr>
          <w:rFonts w:ascii="仿宋_GB2312" w:eastAsia="仿宋_GB2312" w:cs="仿宋_GB2312" w:hint="eastAsia"/>
          <w:sz w:val="32"/>
          <w:szCs w:val="32"/>
        </w:rPr>
        <w:t>企业</w:t>
      </w:r>
      <w:r w:rsidRPr="004A75D5">
        <w:rPr>
          <w:rFonts w:ascii="仿宋_GB2312" w:eastAsia="仿宋_GB2312" w:cs="仿宋_GB2312" w:hint="eastAsia"/>
          <w:sz w:val="32"/>
          <w:szCs w:val="32"/>
        </w:rPr>
        <w:t>或按国家统计局相关规定可视作法人单位的深圳工业企业；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t>（二）申报企业为我市</w:t>
      </w:r>
      <w:r w:rsidRPr="004A75D5">
        <w:rPr>
          <w:rFonts w:ascii="仿宋_GB2312" w:eastAsia="仿宋_GB2312" w:cs="仿宋_GB2312"/>
          <w:sz w:val="32"/>
          <w:szCs w:val="32"/>
        </w:rPr>
        <w:t>201</w:t>
      </w:r>
      <w:r w:rsidR="0073349D">
        <w:rPr>
          <w:rFonts w:ascii="仿宋_GB2312" w:eastAsia="仿宋_GB2312" w:cs="仿宋_GB2312"/>
          <w:sz w:val="32"/>
          <w:szCs w:val="32"/>
        </w:rPr>
        <w:t>6</w:t>
      </w:r>
      <w:r w:rsidRPr="004A75D5">
        <w:rPr>
          <w:rFonts w:ascii="仿宋_GB2312" w:eastAsia="仿宋_GB2312" w:cs="仿宋_GB2312" w:hint="eastAsia"/>
          <w:sz w:val="32"/>
          <w:szCs w:val="32"/>
        </w:rPr>
        <w:t>年度的工业百强企业或</w:t>
      </w:r>
      <w:r w:rsidRPr="004A75D5">
        <w:rPr>
          <w:rFonts w:ascii="仿宋_GB2312" w:eastAsia="仿宋_GB2312" w:cs="仿宋_GB2312"/>
          <w:sz w:val="32"/>
          <w:szCs w:val="32"/>
        </w:rPr>
        <w:t>201</w:t>
      </w:r>
      <w:r w:rsidR="0073349D">
        <w:rPr>
          <w:rFonts w:ascii="仿宋_GB2312" w:eastAsia="仿宋_GB2312" w:cs="仿宋_GB2312"/>
          <w:sz w:val="32"/>
          <w:szCs w:val="32"/>
        </w:rPr>
        <w:t>6</w:t>
      </w:r>
      <w:r w:rsidRPr="004A75D5">
        <w:rPr>
          <w:rFonts w:ascii="仿宋_GB2312" w:eastAsia="仿宋_GB2312" w:cs="仿宋_GB2312" w:hint="eastAsia"/>
          <w:sz w:val="32"/>
          <w:szCs w:val="32"/>
        </w:rPr>
        <w:t>年全年的工业总产值达</w:t>
      </w:r>
      <w:r w:rsidRPr="004A75D5">
        <w:rPr>
          <w:rFonts w:ascii="仿宋_GB2312" w:eastAsia="仿宋_GB2312" w:cs="仿宋_GB2312"/>
          <w:sz w:val="32"/>
          <w:szCs w:val="32"/>
        </w:rPr>
        <w:t>5</w:t>
      </w:r>
      <w:r w:rsidRPr="004A75D5">
        <w:rPr>
          <w:rFonts w:ascii="仿宋_GB2312" w:eastAsia="仿宋_GB2312" w:cs="仿宋_GB2312" w:hint="eastAsia"/>
          <w:sz w:val="32"/>
          <w:szCs w:val="32"/>
        </w:rPr>
        <w:t>亿元（含</w:t>
      </w:r>
      <w:r w:rsidRPr="004A75D5">
        <w:rPr>
          <w:rFonts w:ascii="仿宋_GB2312" w:eastAsia="仿宋_GB2312" w:cs="仿宋_GB2312"/>
          <w:sz w:val="32"/>
          <w:szCs w:val="32"/>
        </w:rPr>
        <w:t>5</w:t>
      </w:r>
      <w:r w:rsidRPr="004A75D5">
        <w:rPr>
          <w:rFonts w:ascii="仿宋_GB2312" w:eastAsia="仿宋_GB2312" w:cs="仿宋_GB2312" w:hint="eastAsia"/>
          <w:sz w:val="32"/>
          <w:szCs w:val="32"/>
        </w:rPr>
        <w:t>亿元）人民币（以上报统计局数据为准）的其他重点工业企业；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t>（三）申报企业的</w:t>
      </w:r>
      <w:r w:rsidRPr="004A75D5">
        <w:rPr>
          <w:rFonts w:ascii="仿宋_GB2312" w:eastAsia="仿宋_GB2312" w:cs="仿宋_GB2312"/>
          <w:sz w:val="32"/>
          <w:szCs w:val="32"/>
        </w:rPr>
        <w:t>201</w:t>
      </w:r>
      <w:r w:rsidR="0073349D">
        <w:rPr>
          <w:rFonts w:ascii="仿宋_GB2312" w:eastAsia="仿宋_GB2312" w:cs="仿宋_GB2312"/>
          <w:sz w:val="32"/>
          <w:szCs w:val="32"/>
        </w:rPr>
        <w:t>6</w:t>
      </w:r>
      <w:r w:rsidRPr="004A75D5">
        <w:rPr>
          <w:rFonts w:ascii="仿宋_GB2312" w:eastAsia="仿宋_GB2312" w:cs="仿宋_GB2312" w:hint="eastAsia"/>
          <w:sz w:val="32"/>
          <w:szCs w:val="32"/>
        </w:rPr>
        <w:t>年度工业增加值增速达</w:t>
      </w:r>
      <w:r w:rsidRPr="004A75D5">
        <w:rPr>
          <w:rFonts w:ascii="仿宋_GB2312" w:eastAsia="仿宋_GB2312" w:cs="仿宋_GB2312"/>
          <w:sz w:val="32"/>
          <w:szCs w:val="32"/>
        </w:rPr>
        <w:t>15%</w:t>
      </w:r>
      <w:r w:rsidRPr="004A75D5">
        <w:rPr>
          <w:rFonts w:ascii="仿宋_GB2312" w:eastAsia="仿宋_GB2312" w:cs="仿宋_GB2312" w:hint="eastAsia"/>
          <w:sz w:val="32"/>
          <w:szCs w:val="32"/>
        </w:rPr>
        <w:t>（含</w:t>
      </w:r>
      <w:r w:rsidRPr="004A75D5">
        <w:rPr>
          <w:rFonts w:ascii="仿宋_GB2312" w:eastAsia="仿宋_GB2312" w:cs="仿宋_GB2312"/>
          <w:sz w:val="32"/>
          <w:szCs w:val="32"/>
        </w:rPr>
        <w:t>15%</w:t>
      </w:r>
      <w:r w:rsidRPr="004A75D5">
        <w:rPr>
          <w:rFonts w:ascii="仿宋_GB2312" w:eastAsia="仿宋_GB2312" w:cs="仿宋_GB2312" w:hint="eastAsia"/>
          <w:sz w:val="32"/>
          <w:szCs w:val="32"/>
        </w:rPr>
        <w:t>）以上；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t>（四）申报企业在市企业信用信息系统内具有良好的信用记录，近三年内无重大违法违规记录和严重的失信记录。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A75D5">
        <w:rPr>
          <w:rFonts w:ascii="黑体" w:eastAsia="黑体" w:hAnsi="黑体" w:cs="黑体" w:hint="eastAsia"/>
          <w:sz w:val="32"/>
          <w:szCs w:val="32"/>
        </w:rPr>
        <w:t>四、资助标准和方式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lastRenderedPageBreak/>
        <w:t>对符合本指南申报条件的企业，按照上一年度新增工业增加值增量的</w:t>
      </w:r>
      <w:r w:rsidRPr="004A75D5">
        <w:rPr>
          <w:rFonts w:ascii="仿宋_GB2312" w:eastAsia="仿宋_GB2312" w:cs="仿宋_GB2312"/>
          <w:sz w:val="32"/>
          <w:szCs w:val="32"/>
        </w:rPr>
        <w:t>3%</w:t>
      </w:r>
      <w:r w:rsidRPr="004A75D5">
        <w:rPr>
          <w:rFonts w:ascii="仿宋_GB2312" w:eastAsia="仿宋_GB2312" w:cs="仿宋_GB2312" w:hint="eastAsia"/>
          <w:sz w:val="32"/>
          <w:szCs w:val="32"/>
        </w:rPr>
        <w:t>予以奖励。其中工业百强企业最高奖励</w:t>
      </w:r>
      <w:r w:rsidRPr="004A75D5">
        <w:rPr>
          <w:rFonts w:ascii="仿宋_GB2312" w:eastAsia="仿宋_GB2312" w:cs="仿宋_GB2312"/>
          <w:sz w:val="32"/>
          <w:szCs w:val="32"/>
        </w:rPr>
        <w:t>500</w:t>
      </w:r>
      <w:r w:rsidRPr="004A75D5">
        <w:rPr>
          <w:rFonts w:ascii="仿宋_GB2312" w:eastAsia="仿宋_GB2312" w:cs="仿宋_GB2312" w:hint="eastAsia"/>
          <w:sz w:val="32"/>
          <w:szCs w:val="32"/>
        </w:rPr>
        <w:t>万元；上一年度工业总产值</w:t>
      </w:r>
      <w:r w:rsidRPr="004A75D5">
        <w:rPr>
          <w:rFonts w:ascii="仿宋_GB2312" w:eastAsia="仿宋_GB2312" w:cs="仿宋_GB2312"/>
          <w:sz w:val="32"/>
          <w:szCs w:val="32"/>
        </w:rPr>
        <w:t>10</w:t>
      </w:r>
      <w:r w:rsidRPr="004A75D5">
        <w:rPr>
          <w:rFonts w:ascii="仿宋_GB2312" w:eastAsia="仿宋_GB2312" w:cs="仿宋_GB2312" w:hint="eastAsia"/>
          <w:sz w:val="32"/>
          <w:szCs w:val="32"/>
        </w:rPr>
        <w:t>亿元（含</w:t>
      </w:r>
      <w:r w:rsidRPr="004A75D5">
        <w:rPr>
          <w:rFonts w:ascii="仿宋_GB2312" w:eastAsia="仿宋_GB2312" w:cs="仿宋_GB2312"/>
          <w:sz w:val="32"/>
          <w:szCs w:val="32"/>
        </w:rPr>
        <w:t>10</w:t>
      </w:r>
      <w:r w:rsidRPr="004A75D5">
        <w:rPr>
          <w:rFonts w:ascii="仿宋_GB2312" w:eastAsia="仿宋_GB2312" w:cs="仿宋_GB2312" w:hint="eastAsia"/>
          <w:sz w:val="32"/>
          <w:szCs w:val="32"/>
        </w:rPr>
        <w:t>亿元）以上的非工业百强企业，奖励的最高额度为</w:t>
      </w:r>
      <w:r w:rsidRPr="004A75D5">
        <w:rPr>
          <w:rFonts w:ascii="仿宋_GB2312" w:eastAsia="仿宋_GB2312" w:cs="仿宋_GB2312"/>
          <w:sz w:val="32"/>
          <w:szCs w:val="32"/>
        </w:rPr>
        <w:t>300</w:t>
      </w:r>
      <w:r w:rsidRPr="004A75D5">
        <w:rPr>
          <w:rFonts w:ascii="仿宋_GB2312" w:eastAsia="仿宋_GB2312" w:cs="仿宋_GB2312" w:hint="eastAsia"/>
          <w:sz w:val="32"/>
          <w:szCs w:val="32"/>
        </w:rPr>
        <w:t>万元；上一年度工业总产值</w:t>
      </w:r>
      <w:r w:rsidRPr="004A75D5">
        <w:rPr>
          <w:rFonts w:ascii="仿宋_GB2312" w:eastAsia="仿宋_GB2312" w:cs="仿宋_GB2312"/>
          <w:sz w:val="32"/>
          <w:szCs w:val="32"/>
        </w:rPr>
        <w:t>5</w:t>
      </w:r>
      <w:r w:rsidRPr="004A75D5">
        <w:rPr>
          <w:rFonts w:ascii="仿宋_GB2312" w:eastAsia="仿宋_GB2312" w:cs="仿宋_GB2312" w:hint="eastAsia"/>
          <w:sz w:val="32"/>
          <w:szCs w:val="32"/>
        </w:rPr>
        <w:t>亿元（含</w:t>
      </w:r>
      <w:r w:rsidRPr="004A75D5">
        <w:rPr>
          <w:rFonts w:ascii="仿宋_GB2312" w:eastAsia="仿宋_GB2312" w:cs="仿宋_GB2312"/>
          <w:sz w:val="32"/>
          <w:szCs w:val="32"/>
        </w:rPr>
        <w:t>5</w:t>
      </w:r>
      <w:r w:rsidRPr="004A75D5">
        <w:rPr>
          <w:rFonts w:ascii="仿宋_GB2312" w:eastAsia="仿宋_GB2312" w:cs="仿宋_GB2312" w:hint="eastAsia"/>
          <w:sz w:val="32"/>
          <w:szCs w:val="32"/>
        </w:rPr>
        <w:t>亿元）以上、</w:t>
      </w:r>
      <w:r w:rsidRPr="004A75D5">
        <w:rPr>
          <w:rFonts w:ascii="仿宋_GB2312" w:eastAsia="仿宋_GB2312" w:cs="仿宋_GB2312"/>
          <w:sz w:val="32"/>
          <w:szCs w:val="32"/>
        </w:rPr>
        <w:t>10</w:t>
      </w:r>
      <w:r w:rsidRPr="004A75D5">
        <w:rPr>
          <w:rFonts w:ascii="仿宋_GB2312" w:eastAsia="仿宋_GB2312" w:cs="仿宋_GB2312" w:hint="eastAsia"/>
          <w:sz w:val="32"/>
          <w:szCs w:val="32"/>
        </w:rPr>
        <w:t>亿元以下的企业，奖励的最高额度为</w:t>
      </w:r>
      <w:r w:rsidRPr="004A75D5">
        <w:rPr>
          <w:rFonts w:ascii="仿宋_GB2312" w:eastAsia="仿宋_GB2312" w:cs="仿宋_GB2312"/>
          <w:sz w:val="32"/>
          <w:szCs w:val="32"/>
        </w:rPr>
        <w:t>100</w:t>
      </w:r>
      <w:r w:rsidRPr="004A75D5">
        <w:rPr>
          <w:rFonts w:ascii="仿宋_GB2312" w:eastAsia="仿宋_GB2312" w:cs="仿宋_GB2312" w:hint="eastAsia"/>
          <w:sz w:val="32"/>
          <w:szCs w:val="32"/>
        </w:rPr>
        <w:t>万元。项目</w:t>
      </w:r>
      <w:r>
        <w:rPr>
          <w:rFonts w:ascii="仿宋_GB2312" w:eastAsia="仿宋_GB2312" w:cs="仿宋_GB2312" w:hint="eastAsia"/>
          <w:sz w:val="32"/>
          <w:szCs w:val="32"/>
        </w:rPr>
        <w:t>奖励</w:t>
      </w:r>
      <w:r w:rsidRPr="004A75D5">
        <w:rPr>
          <w:rFonts w:ascii="仿宋_GB2312" w:eastAsia="仿宋_GB2312" w:cs="仿宋_GB2312" w:hint="eastAsia"/>
          <w:sz w:val="32"/>
          <w:szCs w:val="32"/>
        </w:rPr>
        <w:t>采取直接补助的方式。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A75D5">
        <w:rPr>
          <w:rFonts w:ascii="黑体" w:eastAsia="黑体" w:hAnsi="黑体" w:cs="黑体" w:hint="eastAsia"/>
          <w:sz w:val="32"/>
          <w:szCs w:val="32"/>
        </w:rPr>
        <w:t>五、申请材料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t>（一）登录深圳市经济贸易和信息化委员会网站（</w:t>
      </w:r>
      <w:r w:rsidRPr="004A75D5">
        <w:rPr>
          <w:rFonts w:ascii="仿宋_GB2312" w:eastAsia="仿宋_GB2312" w:cs="仿宋_GB2312"/>
          <w:sz w:val="32"/>
          <w:szCs w:val="32"/>
        </w:rPr>
        <w:t>http://www.szjmxxw.gov.cn</w:t>
      </w:r>
      <w:r w:rsidRPr="004A75D5">
        <w:rPr>
          <w:rFonts w:ascii="仿宋_GB2312" w:eastAsia="仿宋_GB2312" w:cs="仿宋_GB2312" w:hint="eastAsia"/>
          <w:sz w:val="32"/>
          <w:szCs w:val="32"/>
        </w:rPr>
        <w:t>）财政专项资金管理系统在线填报申请书，提供通过该系统打印的申请书纸质文件原件；</w:t>
      </w:r>
      <w:r w:rsidRPr="004A75D5">
        <w:rPr>
          <w:rFonts w:ascii="仿宋_GB2312" w:eastAsia="仿宋_GB2312" w:cs="仿宋_GB2312"/>
          <w:sz w:val="32"/>
          <w:szCs w:val="32"/>
        </w:rPr>
        <w:t xml:space="preserve"> 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t>（二）营业执照、组织机构代码证、税务登记证复印件</w:t>
      </w:r>
      <w:r w:rsidR="0073349D">
        <w:rPr>
          <w:rFonts w:ascii="仿宋_GB2312" w:eastAsia="仿宋_GB2312" w:cs="仿宋_GB2312" w:hint="eastAsia"/>
          <w:sz w:val="32"/>
          <w:szCs w:val="32"/>
        </w:rPr>
        <w:t>（三证合一</w:t>
      </w:r>
      <w:r w:rsidR="000216F6">
        <w:rPr>
          <w:rFonts w:ascii="仿宋_GB2312" w:eastAsia="仿宋_GB2312" w:cs="仿宋_GB2312" w:hint="eastAsia"/>
          <w:sz w:val="32"/>
          <w:szCs w:val="32"/>
        </w:rPr>
        <w:t>的</w:t>
      </w:r>
      <w:r w:rsidR="0073349D">
        <w:rPr>
          <w:rFonts w:ascii="仿宋_GB2312" w:eastAsia="仿宋_GB2312" w:cs="仿宋_GB2312" w:hint="eastAsia"/>
          <w:sz w:val="32"/>
          <w:szCs w:val="32"/>
        </w:rPr>
        <w:t>企业仅提供营业执照）</w:t>
      </w:r>
      <w:r w:rsidRPr="004A75D5">
        <w:rPr>
          <w:rFonts w:ascii="仿宋_GB2312" w:eastAsia="仿宋_GB2312" w:cs="仿宋_GB2312" w:hint="eastAsia"/>
          <w:sz w:val="32"/>
          <w:szCs w:val="32"/>
        </w:rPr>
        <w:t>；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t>（三）法人代表身份证复印件；</w:t>
      </w:r>
    </w:p>
    <w:p w:rsidR="008E1DC9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t>（四）税务部门提供的上</w:t>
      </w:r>
      <w:proofErr w:type="gramStart"/>
      <w:r w:rsidRPr="004A75D5">
        <w:rPr>
          <w:rFonts w:ascii="仿宋_GB2312" w:eastAsia="仿宋_GB2312" w:cs="仿宋_GB2312" w:hint="eastAsia"/>
          <w:sz w:val="32"/>
          <w:szCs w:val="32"/>
        </w:rPr>
        <w:t>两</w:t>
      </w:r>
      <w:proofErr w:type="gramEnd"/>
      <w:r w:rsidRPr="004A75D5">
        <w:rPr>
          <w:rFonts w:ascii="仿宋_GB2312" w:eastAsia="仿宋_GB2312" w:cs="仿宋_GB2312" w:hint="eastAsia"/>
          <w:sz w:val="32"/>
          <w:szCs w:val="32"/>
        </w:rPr>
        <w:t>年度</w:t>
      </w:r>
      <w:r>
        <w:rPr>
          <w:rFonts w:ascii="仿宋_GB2312" w:eastAsia="仿宋_GB2312" w:cs="仿宋_GB2312" w:hint="eastAsia"/>
          <w:sz w:val="32"/>
          <w:szCs w:val="32"/>
        </w:rPr>
        <w:t>纳税</w:t>
      </w:r>
      <w:r w:rsidRPr="004A75D5">
        <w:rPr>
          <w:rFonts w:ascii="仿宋_GB2312" w:eastAsia="仿宋_GB2312" w:cs="仿宋_GB2312" w:hint="eastAsia"/>
          <w:sz w:val="32"/>
          <w:szCs w:val="32"/>
        </w:rPr>
        <w:t>证明复印件；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（五）工业企业增加值核算表（见附件）；</w:t>
      </w:r>
    </w:p>
    <w:p w:rsidR="000216F6" w:rsidRDefault="000216F6" w:rsidP="0065166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216F6">
        <w:rPr>
          <w:rFonts w:ascii="仿宋_GB2312" w:eastAsia="仿宋_GB2312" w:cs="仿宋_GB2312" w:hint="eastAsia"/>
          <w:sz w:val="32"/>
          <w:szCs w:val="32"/>
        </w:rPr>
        <w:t>以上材料均需加盖申报单位印章，多页的还需加盖骑缝印章；一式两份，</w:t>
      </w:r>
      <w:r w:rsidRPr="000216F6">
        <w:rPr>
          <w:rFonts w:ascii="仿宋_GB2312" w:eastAsia="仿宋_GB2312" w:cs="仿宋_GB2312"/>
          <w:sz w:val="32"/>
          <w:szCs w:val="32"/>
        </w:rPr>
        <w:t>A4纸正反面打印/复印，非空白页（含封面）需连续编写页码，装订成册。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A75D5">
        <w:rPr>
          <w:rFonts w:ascii="黑体" w:eastAsia="黑体" w:hAnsi="黑体" w:cs="黑体" w:hint="eastAsia"/>
          <w:sz w:val="32"/>
          <w:szCs w:val="32"/>
        </w:rPr>
        <w:t>六、办理流程</w:t>
      </w:r>
    </w:p>
    <w:p w:rsidR="0073349D" w:rsidRPr="00BA6C35" w:rsidRDefault="0073349D" w:rsidP="0073349D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75D5">
        <w:rPr>
          <w:rFonts w:ascii="仿宋_GB2312" w:eastAsia="仿宋_GB2312" w:cs="仿宋_GB2312" w:hint="eastAsia"/>
          <w:sz w:val="32"/>
          <w:szCs w:val="32"/>
        </w:rPr>
        <w:t>网上发布申报通知</w:t>
      </w:r>
      <w:r w:rsidRPr="004A75D5">
        <w:rPr>
          <w:rFonts w:ascii="仿宋_GB2312" w:eastAsia="仿宋_GB2312" w:cs="仿宋_GB2312"/>
          <w:sz w:val="32"/>
          <w:szCs w:val="32"/>
        </w:rPr>
        <w:t>——</w:t>
      </w:r>
      <w:r w:rsidRPr="004A75D5">
        <w:rPr>
          <w:rFonts w:ascii="仿宋_GB2312" w:eastAsia="仿宋_GB2312" w:cs="仿宋_GB2312" w:hint="eastAsia"/>
          <w:sz w:val="32"/>
          <w:szCs w:val="32"/>
        </w:rPr>
        <w:t>企业</w:t>
      </w:r>
      <w:r>
        <w:rPr>
          <w:rFonts w:ascii="仿宋_GB2312" w:eastAsia="仿宋_GB2312" w:cs="仿宋_GB2312" w:hint="eastAsia"/>
          <w:sz w:val="32"/>
          <w:szCs w:val="32"/>
        </w:rPr>
        <w:t>网上申请</w:t>
      </w:r>
      <w:r w:rsidR="000216F6" w:rsidRPr="004A75D5">
        <w:rPr>
          <w:rFonts w:ascii="仿宋_GB2312" w:eastAsia="仿宋_GB2312" w:cs="仿宋_GB2312"/>
          <w:sz w:val="32"/>
          <w:szCs w:val="32"/>
        </w:rPr>
        <w:t>——</w:t>
      </w:r>
      <w:r w:rsidRPr="00BA6C35">
        <w:rPr>
          <w:rFonts w:ascii="仿宋_GB2312" w:eastAsia="仿宋_GB2312" w:cs="仿宋_GB2312" w:hint="eastAsia"/>
          <w:sz w:val="32"/>
          <w:szCs w:val="32"/>
        </w:rPr>
        <w:t>向市经济贸易和信息化委员会收文窗口</w:t>
      </w:r>
      <w:r w:rsidRPr="004A75D5">
        <w:rPr>
          <w:rFonts w:ascii="仿宋_GB2312" w:eastAsia="仿宋_GB2312" w:cs="仿宋_GB2312" w:hint="eastAsia"/>
          <w:sz w:val="32"/>
          <w:szCs w:val="32"/>
        </w:rPr>
        <w:t>提交申报材料</w:t>
      </w:r>
      <w:r w:rsidRPr="004A75D5">
        <w:rPr>
          <w:rFonts w:ascii="仿宋_GB2312" w:eastAsia="仿宋_GB2312" w:cs="仿宋_GB2312"/>
          <w:sz w:val="32"/>
          <w:szCs w:val="32"/>
        </w:rPr>
        <w:t>——</w:t>
      </w:r>
      <w:r w:rsidRPr="004A75D5">
        <w:rPr>
          <w:rFonts w:ascii="仿宋_GB2312" w:eastAsia="仿宋_GB2312" w:cs="仿宋_GB2312" w:hint="eastAsia"/>
          <w:sz w:val="32"/>
          <w:szCs w:val="32"/>
        </w:rPr>
        <w:t>市经贸信息委进行初审</w:t>
      </w:r>
      <w:r w:rsidRPr="004A75D5">
        <w:rPr>
          <w:rFonts w:ascii="仿宋_GB2312" w:eastAsia="仿宋_GB2312" w:cs="仿宋_GB2312"/>
          <w:sz w:val="32"/>
          <w:szCs w:val="32"/>
        </w:rPr>
        <w:t>——</w:t>
      </w:r>
      <w:r w:rsidRPr="004A75D5">
        <w:rPr>
          <w:rFonts w:ascii="仿宋_GB2312" w:eastAsia="仿宋_GB2312" w:cs="仿宋_GB2312" w:hint="eastAsia"/>
          <w:sz w:val="32"/>
          <w:szCs w:val="32"/>
        </w:rPr>
        <w:t>市经贸信息委与市统计局联合复核</w:t>
      </w:r>
      <w:r w:rsidRPr="004A75D5">
        <w:rPr>
          <w:rFonts w:ascii="仿宋_GB2312" w:eastAsia="仿宋_GB2312" w:cs="仿宋_GB2312"/>
          <w:sz w:val="32"/>
          <w:szCs w:val="32"/>
        </w:rPr>
        <w:t>——</w:t>
      </w:r>
      <w:r w:rsidRPr="00BA6C35">
        <w:rPr>
          <w:rFonts w:ascii="仿宋_GB2312" w:eastAsia="仿宋_GB2312" w:cs="仿宋_GB2312" w:hint="eastAsia"/>
          <w:sz w:val="32"/>
          <w:szCs w:val="32"/>
        </w:rPr>
        <w:t>市经济贸易和信息化委员会核定资助金额</w:t>
      </w:r>
      <w:r w:rsidR="000216F6" w:rsidRPr="004A75D5">
        <w:rPr>
          <w:rFonts w:ascii="仿宋_GB2312" w:eastAsia="仿宋_GB2312" w:cs="仿宋_GB2312"/>
          <w:sz w:val="32"/>
          <w:szCs w:val="32"/>
        </w:rPr>
        <w:t>——</w:t>
      </w:r>
      <w:r w:rsidRPr="00BA6C35">
        <w:rPr>
          <w:rFonts w:ascii="仿宋_GB2312" w:eastAsia="仿宋_GB2312" w:cs="仿宋_GB2312" w:hint="eastAsia"/>
          <w:sz w:val="32"/>
          <w:szCs w:val="32"/>
        </w:rPr>
        <w:t>市</w:t>
      </w:r>
      <w:proofErr w:type="gramStart"/>
      <w:r w:rsidRPr="00BA6C35">
        <w:rPr>
          <w:rFonts w:ascii="仿宋_GB2312" w:eastAsia="仿宋_GB2312" w:cs="仿宋_GB2312" w:hint="eastAsia"/>
          <w:sz w:val="32"/>
          <w:szCs w:val="32"/>
        </w:rPr>
        <w:t>财政委</w:t>
      </w:r>
      <w:proofErr w:type="gramEnd"/>
      <w:r w:rsidRPr="00BA6C35">
        <w:rPr>
          <w:rFonts w:ascii="仿宋_GB2312" w:eastAsia="仿宋_GB2312" w:cs="仿宋_GB2312" w:hint="eastAsia"/>
          <w:sz w:val="32"/>
          <w:szCs w:val="32"/>
        </w:rPr>
        <w:t>复核</w:t>
      </w:r>
      <w:r w:rsidR="000216F6" w:rsidRPr="004A75D5">
        <w:rPr>
          <w:rFonts w:ascii="仿宋_GB2312" w:eastAsia="仿宋_GB2312" w:cs="仿宋_GB2312"/>
          <w:sz w:val="32"/>
          <w:szCs w:val="32"/>
        </w:rPr>
        <w:t>——</w:t>
      </w:r>
      <w:r w:rsidRPr="00BA6C35">
        <w:rPr>
          <w:rFonts w:ascii="仿宋_GB2312" w:eastAsia="仿宋_GB2312" w:cs="仿宋_GB2312" w:hint="eastAsia"/>
          <w:sz w:val="32"/>
          <w:szCs w:val="32"/>
        </w:rPr>
        <w:t>社会公示</w:t>
      </w:r>
      <w:r w:rsidR="000216F6" w:rsidRPr="004A75D5">
        <w:rPr>
          <w:rFonts w:ascii="仿宋_GB2312" w:eastAsia="仿宋_GB2312" w:cs="仿宋_GB2312"/>
          <w:sz w:val="32"/>
          <w:szCs w:val="32"/>
        </w:rPr>
        <w:t>——</w:t>
      </w:r>
      <w:r w:rsidRPr="00BA6C35">
        <w:rPr>
          <w:rFonts w:ascii="仿宋_GB2312" w:eastAsia="仿宋_GB2312" w:cs="仿宋_GB2312" w:hint="eastAsia"/>
          <w:sz w:val="32"/>
          <w:szCs w:val="32"/>
        </w:rPr>
        <w:t>市经济贸易和信息化委员会会同市</w:t>
      </w:r>
      <w:proofErr w:type="gramStart"/>
      <w:r w:rsidRPr="00BA6C35">
        <w:rPr>
          <w:rFonts w:ascii="仿宋_GB2312" w:eastAsia="仿宋_GB2312" w:cs="仿宋_GB2312" w:hint="eastAsia"/>
          <w:sz w:val="32"/>
          <w:szCs w:val="32"/>
        </w:rPr>
        <w:t>财政委</w:t>
      </w:r>
      <w:proofErr w:type="gramEnd"/>
      <w:r w:rsidRPr="00BA6C35">
        <w:rPr>
          <w:rFonts w:ascii="仿宋_GB2312" w:eastAsia="仿宋_GB2312" w:cs="仿宋_GB2312" w:hint="eastAsia"/>
          <w:sz w:val="32"/>
          <w:szCs w:val="32"/>
        </w:rPr>
        <w:t>共同下达项目资金资助计划</w:t>
      </w:r>
      <w:r w:rsidR="000216F6" w:rsidRPr="004A75D5">
        <w:rPr>
          <w:rFonts w:ascii="仿宋_GB2312" w:eastAsia="仿宋_GB2312" w:cs="仿宋_GB2312"/>
          <w:sz w:val="32"/>
          <w:szCs w:val="32"/>
        </w:rPr>
        <w:lastRenderedPageBreak/>
        <w:t>——</w:t>
      </w:r>
      <w:r w:rsidRPr="00BA6C35">
        <w:rPr>
          <w:rFonts w:ascii="仿宋_GB2312" w:eastAsia="仿宋_GB2312" w:cs="仿宋_GB2312" w:hint="eastAsia"/>
          <w:sz w:val="32"/>
          <w:szCs w:val="32"/>
        </w:rPr>
        <w:t>申请人提交拨付资金有关资料</w:t>
      </w:r>
      <w:r w:rsidR="000216F6" w:rsidRPr="004A75D5">
        <w:rPr>
          <w:rFonts w:ascii="仿宋_GB2312" w:eastAsia="仿宋_GB2312" w:cs="仿宋_GB2312"/>
          <w:sz w:val="32"/>
          <w:szCs w:val="32"/>
        </w:rPr>
        <w:t>——</w:t>
      </w:r>
      <w:r w:rsidRPr="00BA6C35">
        <w:rPr>
          <w:rFonts w:ascii="仿宋_GB2312" w:eastAsia="仿宋_GB2312" w:cs="仿宋_GB2312" w:hint="eastAsia"/>
          <w:sz w:val="32"/>
          <w:szCs w:val="32"/>
        </w:rPr>
        <w:t>拨付资助</w:t>
      </w:r>
      <w:bookmarkStart w:id="0" w:name="_GoBack"/>
      <w:bookmarkEnd w:id="0"/>
      <w:r w:rsidRPr="00BA6C35">
        <w:rPr>
          <w:rFonts w:ascii="仿宋_GB2312" w:eastAsia="仿宋_GB2312" w:cs="仿宋_GB2312" w:hint="eastAsia"/>
          <w:sz w:val="32"/>
          <w:szCs w:val="32"/>
        </w:rPr>
        <w:t>经费。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A75D5">
        <w:rPr>
          <w:rFonts w:ascii="黑体" w:eastAsia="黑体" w:hAnsi="黑体" w:cs="黑体" w:hint="eastAsia"/>
          <w:sz w:val="32"/>
          <w:szCs w:val="32"/>
        </w:rPr>
        <w:t>七、申请受理时间</w:t>
      </w:r>
    </w:p>
    <w:p w:rsidR="008E1DC9" w:rsidRPr="004A75D5" w:rsidRDefault="008E1DC9" w:rsidP="0065166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网上在线申报：</w:t>
      </w:r>
      <w:r w:rsidRPr="004A75D5">
        <w:rPr>
          <w:rFonts w:ascii="仿宋_GB2312" w:eastAsia="仿宋_GB2312" w:cs="仿宋_GB2312"/>
          <w:sz w:val="32"/>
          <w:szCs w:val="32"/>
        </w:rPr>
        <w:t>201</w:t>
      </w:r>
      <w:r w:rsidR="0073349D">
        <w:rPr>
          <w:rFonts w:ascii="仿宋_GB2312" w:eastAsia="仿宋_GB2312" w:cs="仿宋_GB2312"/>
          <w:sz w:val="32"/>
          <w:szCs w:val="32"/>
        </w:rPr>
        <w:t>7</w:t>
      </w:r>
      <w:r w:rsidRPr="004A75D5">
        <w:rPr>
          <w:rFonts w:ascii="仿宋_GB2312" w:eastAsia="仿宋_GB2312" w:cs="仿宋_GB2312" w:hint="eastAsia"/>
          <w:sz w:val="32"/>
          <w:szCs w:val="32"/>
        </w:rPr>
        <w:t>年</w:t>
      </w:r>
      <w:r w:rsidR="0073349D">
        <w:rPr>
          <w:rFonts w:ascii="仿宋_GB2312" w:eastAsia="仿宋_GB2312" w:cs="仿宋_GB2312"/>
          <w:sz w:val="32"/>
          <w:szCs w:val="32"/>
        </w:rPr>
        <w:t>3</w:t>
      </w:r>
      <w:r w:rsidRPr="004A75D5">
        <w:rPr>
          <w:rFonts w:ascii="仿宋_GB2312" w:eastAsia="仿宋_GB2312" w:cs="仿宋_GB2312" w:hint="eastAsia"/>
          <w:sz w:val="32"/>
          <w:szCs w:val="32"/>
        </w:rPr>
        <w:t>月</w:t>
      </w:r>
      <w:r w:rsidR="00867D4A">
        <w:rPr>
          <w:rFonts w:ascii="仿宋_GB2312" w:eastAsia="仿宋_GB2312" w:cs="仿宋_GB2312" w:hint="eastAsia"/>
          <w:sz w:val="32"/>
          <w:szCs w:val="32"/>
        </w:rPr>
        <w:t>29</w:t>
      </w:r>
      <w:r w:rsidRPr="004A75D5">
        <w:rPr>
          <w:rFonts w:ascii="仿宋_GB2312" w:eastAsia="仿宋_GB2312" w:cs="仿宋_GB2312" w:hint="eastAsia"/>
          <w:sz w:val="32"/>
          <w:szCs w:val="32"/>
        </w:rPr>
        <w:t>日</w:t>
      </w:r>
      <w:r w:rsidR="0073349D">
        <w:rPr>
          <w:rFonts w:ascii="仿宋_GB2312" w:eastAsia="仿宋_GB2312" w:cs="仿宋_GB2312" w:hint="eastAsia"/>
          <w:sz w:val="32"/>
          <w:szCs w:val="32"/>
        </w:rPr>
        <w:t>9：00</w:t>
      </w:r>
      <w:r w:rsidRPr="004A75D5">
        <w:rPr>
          <w:rFonts w:ascii="仿宋_GB2312" w:eastAsia="仿宋_GB2312" w:cs="仿宋_GB2312"/>
          <w:sz w:val="32"/>
          <w:szCs w:val="32"/>
        </w:rPr>
        <w:t>- 201</w:t>
      </w:r>
      <w:r w:rsidR="0073349D">
        <w:rPr>
          <w:rFonts w:ascii="仿宋_GB2312" w:eastAsia="仿宋_GB2312" w:cs="仿宋_GB2312"/>
          <w:sz w:val="32"/>
          <w:szCs w:val="32"/>
        </w:rPr>
        <w:t>7</w:t>
      </w:r>
      <w:r w:rsidRPr="004A75D5">
        <w:rPr>
          <w:rFonts w:ascii="仿宋_GB2312" w:eastAsia="仿宋_GB2312" w:cs="仿宋_GB2312" w:hint="eastAsia"/>
          <w:sz w:val="32"/>
          <w:szCs w:val="32"/>
        </w:rPr>
        <w:t>年</w:t>
      </w:r>
      <w:r w:rsidR="0073349D">
        <w:rPr>
          <w:rFonts w:ascii="仿宋_GB2312" w:eastAsia="仿宋_GB2312" w:cs="仿宋_GB2312"/>
          <w:sz w:val="32"/>
          <w:szCs w:val="32"/>
        </w:rPr>
        <w:t>4</w:t>
      </w:r>
      <w:r w:rsidRPr="004A75D5">
        <w:rPr>
          <w:rFonts w:ascii="仿宋_GB2312" w:eastAsia="仿宋_GB2312" w:cs="仿宋_GB2312" w:hint="eastAsia"/>
          <w:sz w:val="32"/>
          <w:szCs w:val="32"/>
        </w:rPr>
        <w:t>月</w:t>
      </w:r>
      <w:r w:rsidR="00867D4A">
        <w:rPr>
          <w:rFonts w:ascii="仿宋_GB2312" w:eastAsia="仿宋_GB2312" w:cs="仿宋_GB2312" w:hint="eastAsia"/>
          <w:sz w:val="32"/>
          <w:szCs w:val="32"/>
        </w:rPr>
        <w:t>14</w:t>
      </w:r>
      <w:r w:rsidRPr="004A75D5">
        <w:rPr>
          <w:rFonts w:ascii="仿宋_GB2312" w:eastAsia="仿宋_GB2312" w:cs="仿宋_GB2312" w:hint="eastAsia"/>
          <w:sz w:val="32"/>
          <w:szCs w:val="32"/>
        </w:rPr>
        <w:t>日</w:t>
      </w:r>
      <w:r w:rsidR="0073349D">
        <w:rPr>
          <w:rFonts w:ascii="仿宋_GB2312" w:eastAsia="仿宋_GB2312" w:cs="仿宋_GB2312" w:hint="eastAsia"/>
          <w:sz w:val="32"/>
          <w:szCs w:val="32"/>
        </w:rPr>
        <w:t>1</w:t>
      </w:r>
      <w:r w:rsidR="0073349D">
        <w:rPr>
          <w:rFonts w:ascii="仿宋_GB2312" w:eastAsia="仿宋_GB2312" w:cs="仿宋_GB2312"/>
          <w:sz w:val="32"/>
          <w:szCs w:val="32"/>
        </w:rPr>
        <w:t>8</w:t>
      </w:r>
      <w:r w:rsidR="0073349D">
        <w:rPr>
          <w:rFonts w:ascii="仿宋_GB2312" w:eastAsia="仿宋_GB2312" w:cs="仿宋_GB2312" w:hint="eastAsia"/>
          <w:sz w:val="32"/>
          <w:szCs w:val="32"/>
        </w:rPr>
        <w:t>：00</w:t>
      </w:r>
    </w:p>
    <w:p w:rsidR="008E1DC9" w:rsidRPr="000A3435" w:rsidRDefault="008E1DC9" w:rsidP="00651666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0A3435">
        <w:rPr>
          <w:rFonts w:ascii="仿宋_GB2312" w:eastAsia="仿宋_GB2312" w:cs="仿宋_GB2312" w:hint="eastAsia"/>
          <w:sz w:val="32"/>
          <w:szCs w:val="32"/>
        </w:rPr>
        <w:t>书面材料提交：</w:t>
      </w:r>
      <w:r w:rsidRPr="000A3435">
        <w:rPr>
          <w:rFonts w:ascii="仿宋_GB2312" w:eastAsia="仿宋_GB2312" w:cs="仿宋_GB2312"/>
          <w:sz w:val="32"/>
          <w:szCs w:val="32"/>
        </w:rPr>
        <w:t>201</w:t>
      </w:r>
      <w:r w:rsidR="0073349D">
        <w:rPr>
          <w:rFonts w:ascii="仿宋_GB2312" w:eastAsia="仿宋_GB2312" w:cs="仿宋_GB2312"/>
          <w:sz w:val="32"/>
          <w:szCs w:val="32"/>
        </w:rPr>
        <w:t>7</w:t>
      </w:r>
      <w:r w:rsidRPr="000A3435">
        <w:rPr>
          <w:rFonts w:ascii="仿宋_GB2312" w:eastAsia="仿宋_GB2312" w:cs="仿宋_GB2312" w:hint="eastAsia"/>
          <w:sz w:val="32"/>
          <w:szCs w:val="32"/>
        </w:rPr>
        <w:t>年</w:t>
      </w:r>
      <w:r w:rsidR="0073349D">
        <w:rPr>
          <w:rFonts w:ascii="仿宋_GB2312" w:eastAsia="仿宋_GB2312" w:cs="仿宋_GB2312"/>
          <w:sz w:val="32"/>
          <w:szCs w:val="32"/>
        </w:rPr>
        <w:t>3</w:t>
      </w:r>
      <w:r w:rsidRPr="000A3435">
        <w:rPr>
          <w:rFonts w:ascii="仿宋_GB2312" w:eastAsia="仿宋_GB2312" w:cs="仿宋_GB2312" w:hint="eastAsia"/>
          <w:sz w:val="32"/>
          <w:szCs w:val="32"/>
        </w:rPr>
        <w:t>月</w:t>
      </w:r>
      <w:r w:rsidR="0073349D">
        <w:rPr>
          <w:rFonts w:ascii="仿宋_GB2312" w:eastAsia="仿宋_GB2312" w:cs="仿宋_GB2312"/>
          <w:sz w:val="32"/>
          <w:szCs w:val="32"/>
        </w:rPr>
        <w:t>2</w:t>
      </w:r>
      <w:r w:rsidR="00867D4A">
        <w:rPr>
          <w:rFonts w:ascii="仿宋_GB2312" w:eastAsia="仿宋_GB2312" w:cs="仿宋_GB2312" w:hint="eastAsia"/>
          <w:sz w:val="32"/>
          <w:szCs w:val="32"/>
        </w:rPr>
        <w:t>9</w:t>
      </w:r>
      <w:r w:rsidRPr="000A3435">
        <w:rPr>
          <w:rFonts w:ascii="仿宋_GB2312" w:eastAsia="仿宋_GB2312" w:cs="仿宋_GB2312" w:hint="eastAsia"/>
          <w:sz w:val="32"/>
          <w:szCs w:val="32"/>
        </w:rPr>
        <w:t>日</w:t>
      </w:r>
      <w:r w:rsidR="0073349D">
        <w:rPr>
          <w:rFonts w:ascii="仿宋_GB2312" w:eastAsia="仿宋_GB2312" w:cs="仿宋_GB2312" w:hint="eastAsia"/>
          <w:sz w:val="32"/>
          <w:szCs w:val="32"/>
        </w:rPr>
        <w:t>9：00</w:t>
      </w:r>
      <w:r w:rsidRPr="000A3435">
        <w:rPr>
          <w:rFonts w:ascii="仿宋_GB2312" w:eastAsia="仿宋_GB2312" w:cs="仿宋_GB2312"/>
          <w:sz w:val="32"/>
          <w:szCs w:val="32"/>
        </w:rPr>
        <w:t>-201</w:t>
      </w:r>
      <w:r w:rsidR="0073349D">
        <w:rPr>
          <w:rFonts w:ascii="仿宋_GB2312" w:eastAsia="仿宋_GB2312" w:cs="仿宋_GB2312"/>
          <w:sz w:val="32"/>
          <w:szCs w:val="32"/>
        </w:rPr>
        <w:t>7</w:t>
      </w:r>
      <w:r w:rsidRPr="000A3435">
        <w:rPr>
          <w:rFonts w:ascii="仿宋_GB2312" w:eastAsia="仿宋_GB2312" w:cs="仿宋_GB2312" w:hint="eastAsia"/>
          <w:sz w:val="32"/>
          <w:szCs w:val="32"/>
        </w:rPr>
        <w:t>年</w:t>
      </w:r>
      <w:r w:rsidR="0073349D">
        <w:rPr>
          <w:rFonts w:ascii="仿宋_GB2312" w:eastAsia="仿宋_GB2312" w:cs="仿宋_GB2312"/>
          <w:sz w:val="32"/>
          <w:szCs w:val="32"/>
        </w:rPr>
        <w:t>4</w:t>
      </w:r>
      <w:r w:rsidRPr="000A3435">
        <w:rPr>
          <w:rFonts w:ascii="仿宋_GB2312" w:eastAsia="仿宋_GB2312" w:cs="仿宋_GB2312" w:hint="eastAsia"/>
          <w:sz w:val="32"/>
          <w:szCs w:val="32"/>
        </w:rPr>
        <w:t>月</w:t>
      </w:r>
      <w:r w:rsidR="0073349D">
        <w:rPr>
          <w:rFonts w:ascii="仿宋_GB2312" w:eastAsia="仿宋_GB2312" w:cs="仿宋_GB2312"/>
          <w:sz w:val="32"/>
          <w:szCs w:val="32"/>
        </w:rPr>
        <w:t>1</w:t>
      </w:r>
      <w:r w:rsidR="00867D4A">
        <w:rPr>
          <w:rFonts w:ascii="仿宋_GB2312" w:eastAsia="仿宋_GB2312" w:cs="仿宋_GB2312" w:hint="eastAsia"/>
          <w:sz w:val="32"/>
          <w:szCs w:val="32"/>
        </w:rPr>
        <w:t>7</w:t>
      </w:r>
      <w:r w:rsidRPr="000A3435">
        <w:rPr>
          <w:rFonts w:ascii="仿宋_GB2312" w:eastAsia="仿宋_GB2312" w:cs="仿宋_GB2312" w:hint="eastAsia"/>
          <w:sz w:val="32"/>
          <w:szCs w:val="32"/>
        </w:rPr>
        <w:t>日</w:t>
      </w:r>
      <w:r w:rsidR="0073349D">
        <w:rPr>
          <w:rFonts w:ascii="仿宋_GB2312" w:eastAsia="仿宋_GB2312" w:cs="仿宋_GB2312" w:hint="eastAsia"/>
          <w:sz w:val="32"/>
          <w:szCs w:val="32"/>
        </w:rPr>
        <w:t>17：30</w:t>
      </w:r>
    </w:p>
    <w:p w:rsidR="008E1DC9" w:rsidRDefault="008E1DC9" w:rsidP="00651666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8E1DC9" w:rsidRDefault="008E1DC9" w:rsidP="00651666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ED5D89">
        <w:rPr>
          <w:rFonts w:ascii="仿宋_GB2312" w:eastAsia="仿宋_GB2312" w:cs="仿宋_GB2312" w:hint="eastAsia"/>
          <w:sz w:val="32"/>
          <w:szCs w:val="32"/>
        </w:rPr>
        <w:t>联系人：于鹏飞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ED5D89"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88101602</w:t>
      </w:r>
    </w:p>
    <w:p w:rsidR="008E1DC9" w:rsidRPr="00ED5D89" w:rsidRDefault="008E1DC9" w:rsidP="00651666">
      <w:pPr>
        <w:ind w:firstLineChars="200" w:firstLine="640"/>
        <w:rPr>
          <w:rFonts w:ascii="仿宋_GB2312" w:eastAsia="仿宋_GB2312" w:cs="Times New Roman"/>
          <w:sz w:val="32"/>
          <w:szCs w:val="32"/>
        </w:rPr>
        <w:sectPr w:rsidR="008E1DC9" w:rsidRPr="00ED5D89" w:rsidSect="00473506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8E1DC9" w:rsidRPr="00867D4A" w:rsidRDefault="008E1DC9" w:rsidP="009A608D">
      <w:pPr>
        <w:rPr>
          <w:rFonts w:ascii="黑体" w:eastAsia="黑体" w:hAnsi="黑体" w:cs="Times New Roman"/>
          <w:sz w:val="32"/>
          <w:szCs w:val="32"/>
        </w:rPr>
      </w:pPr>
      <w:r w:rsidRPr="00867D4A"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</w:p>
    <w:p w:rsidR="008E1DC9" w:rsidRPr="0073349D" w:rsidRDefault="008E1DC9" w:rsidP="0073349D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73349D">
        <w:rPr>
          <w:rFonts w:ascii="方正小标宋简体" w:eastAsia="方正小标宋简体" w:hAnsi="宋体" w:cs="宋体" w:hint="eastAsia"/>
          <w:sz w:val="32"/>
          <w:szCs w:val="32"/>
        </w:rPr>
        <w:t>工业企业增加值核算表</w:t>
      </w:r>
      <w:r w:rsidRPr="0073349D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（单位：千元）</w:t>
      </w:r>
    </w:p>
    <w:p w:rsidR="008E1DC9" w:rsidRPr="00183BA9" w:rsidRDefault="008E1DC9" w:rsidP="009A608D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1"/>
        <w:gridCol w:w="1276"/>
        <w:gridCol w:w="1275"/>
        <w:gridCol w:w="1134"/>
      </w:tblGrid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项目指标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73349D" w:rsidP="00843A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="008E1DC9" w:rsidRPr="00183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5" w:type="dxa"/>
            <w:noWrap/>
            <w:vAlign w:val="center"/>
          </w:tcPr>
          <w:p w:rsidR="008E1DC9" w:rsidRPr="00183BA9" w:rsidRDefault="0073349D" w:rsidP="00843A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="008E1DC9" w:rsidRPr="00183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增速（</w:t>
            </w:r>
            <w:r w:rsidRPr="00183BA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  <w:r w:rsidRPr="00183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工业总产值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工业增加值合计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100" w:firstLine="241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折旧合计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制造费用、销售费用、管理费用中折旧费合计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劳动者报酬合计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73349D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制造成本中的直接人工</w:t>
            </w:r>
          </w:p>
        </w:tc>
        <w:tc>
          <w:tcPr>
            <w:tcW w:w="1276" w:type="dxa"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生产单位管理人员工资和福利费合计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制造费用中的劳务费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销售部门人员工资和福利费合计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行政人员工资和福利费合计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制造费用和销售费用的社保费合计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差旅费合计</w:t>
            </w:r>
            <w:r w:rsidRPr="00183B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*6.4%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工会经费</w:t>
            </w:r>
            <w:r w:rsidRPr="00183B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*60%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其他费用中支付给政府和个人的部分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100" w:firstLine="241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生产税净额合计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水电费中所包含的各项税金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主营业务税金及附加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本年应交增值税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补贴收入（</w:t>
            </w:r>
            <w:r w:rsidRPr="00183B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100" w:firstLine="241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营业盈余合计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营业利润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补贴收入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工会经费</w:t>
            </w:r>
            <w:r w:rsidRPr="00183B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*40%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8E1DC9" w:rsidRPr="00183BA9" w:rsidTr="0073349D">
        <w:trPr>
          <w:trHeight w:val="397"/>
        </w:trPr>
        <w:tc>
          <w:tcPr>
            <w:tcW w:w="5601" w:type="dxa"/>
            <w:noWrap/>
            <w:vAlign w:val="center"/>
          </w:tcPr>
          <w:p w:rsidR="008E1DC9" w:rsidRPr="00183BA9" w:rsidRDefault="008E1DC9" w:rsidP="008E1DC9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公允价值变动收益（</w:t>
            </w:r>
            <w:r w:rsidRPr="00183B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183B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DC9" w:rsidRPr="00183BA9" w:rsidRDefault="008E1DC9" w:rsidP="00843A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BA9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</w:tbl>
    <w:p w:rsidR="008E1DC9" w:rsidRDefault="008E1DC9" w:rsidP="009A608D">
      <w:pPr>
        <w:rPr>
          <w:rFonts w:cs="Times New Roman"/>
          <w:b/>
          <w:bCs/>
        </w:rPr>
      </w:pPr>
    </w:p>
    <w:p w:rsidR="008E1DC9" w:rsidRPr="0073349D" w:rsidRDefault="008E1DC9" w:rsidP="009A608D">
      <w:pPr>
        <w:rPr>
          <w:rFonts w:ascii="宋体" w:eastAsia="宋体" w:hAnsi="宋体" w:cs="宋体"/>
          <w:b/>
          <w:bCs/>
        </w:rPr>
      </w:pPr>
      <w:r w:rsidRPr="0073349D">
        <w:rPr>
          <w:rFonts w:ascii="宋体" w:eastAsia="宋体" w:hAnsi="宋体" w:cs="宋体" w:hint="eastAsia"/>
          <w:b/>
          <w:bCs/>
        </w:rPr>
        <w:t>填表说明：</w:t>
      </w:r>
    </w:p>
    <w:p w:rsidR="0073349D" w:rsidRPr="0073349D" w:rsidRDefault="0073349D" w:rsidP="009A608D">
      <w:pPr>
        <w:rPr>
          <w:rFonts w:ascii="宋体" w:eastAsia="宋体" w:hAnsi="宋体" w:cs="宋体"/>
          <w:bCs/>
        </w:rPr>
      </w:pPr>
      <w:r w:rsidRPr="0073349D">
        <w:rPr>
          <w:rFonts w:ascii="宋体" w:eastAsia="宋体" w:hAnsi="宋体" w:cs="宋体" w:hint="eastAsia"/>
          <w:bCs/>
        </w:rPr>
        <w:t>（一）本表中的工业总产值数据以统计局2</w:t>
      </w:r>
      <w:r w:rsidRPr="0073349D">
        <w:rPr>
          <w:rFonts w:ascii="宋体" w:eastAsia="宋体" w:hAnsi="宋体" w:cs="宋体"/>
          <w:bCs/>
        </w:rPr>
        <w:t>016</w:t>
      </w:r>
      <w:r w:rsidRPr="0073349D">
        <w:rPr>
          <w:rFonts w:ascii="宋体" w:eastAsia="宋体" w:hAnsi="宋体" w:cs="宋体" w:hint="eastAsia"/>
          <w:bCs/>
        </w:rPr>
        <w:t>年1-12月月报数据为准</w:t>
      </w:r>
    </w:p>
    <w:p w:rsidR="0073349D" w:rsidRPr="0073349D" w:rsidRDefault="0073349D" w:rsidP="009A608D">
      <w:pPr>
        <w:rPr>
          <w:rFonts w:ascii="宋体" w:eastAsia="宋体" w:hAnsi="宋体" w:cs="Times New Roman"/>
          <w:bCs/>
        </w:rPr>
      </w:pPr>
      <w:r w:rsidRPr="0073349D">
        <w:rPr>
          <w:rFonts w:ascii="宋体" w:eastAsia="宋体" w:hAnsi="宋体" w:cs="宋体" w:hint="eastAsia"/>
          <w:bCs/>
        </w:rPr>
        <w:t>（二）本表中的工业增加值合计=折旧合计+劳动者报酬合计+生产税净额合计+营业盈余合计</w:t>
      </w:r>
    </w:p>
    <w:p w:rsidR="008E1DC9" w:rsidRPr="0073349D" w:rsidRDefault="008E1DC9" w:rsidP="009A608D">
      <w:pPr>
        <w:rPr>
          <w:rFonts w:ascii="宋体" w:eastAsia="宋体" w:hAnsi="宋体" w:cs="Times New Roman"/>
        </w:rPr>
      </w:pPr>
      <w:r w:rsidRPr="0073349D">
        <w:rPr>
          <w:rFonts w:ascii="宋体" w:eastAsia="宋体" w:hAnsi="宋体" w:cs="宋体" w:hint="eastAsia"/>
        </w:rPr>
        <w:t>（</w:t>
      </w:r>
      <w:r w:rsidR="0073349D" w:rsidRPr="0073349D">
        <w:rPr>
          <w:rFonts w:ascii="宋体" w:eastAsia="宋体" w:hAnsi="宋体" w:cs="宋体" w:hint="eastAsia"/>
        </w:rPr>
        <w:t>三</w:t>
      </w:r>
      <w:r w:rsidRPr="0073349D">
        <w:rPr>
          <w:rFonts w:ascii="宋体" w:eastAsia="宋体" w:hAnsi="宋体" w:cs="宋体" w:hint="eastAsia"/>
        </w:rPr>
        <w:t>）</w:t>
      </w:r>
      <w:r w:rsidR="0073349D" w:rsidRPr="0073349D">
        <w:rPr>
          <w:rFonts w:ascii="宋体" w:eastAsia="宋体" w:hAnsi="宋体" w:cs="宋体" w:hint="eastAsia"/>
        </w:rPr>
        <w:t>项目</w:t>
      </w:r>
      <w:r w:rsidRPr="0073349D">
        <w:rPr>
          <w:rFonts w:ascii="宋体" w:eastAsia="宋体" w:hAnsi="宋体" w:cs="宋体" w:hint="eastAsia"/>
        </w:rPr>
        <w:t>指标中括号标注减号（</w:t>
      </w:r>
      <w:r w:rsidRPr="0073349D">
        <w:rPr>
          <w:rFonts w:ascii="宋体" w:eastAsia="宋体" w:hAnsi="宋体" w:cs="宋体"/>
        </w:rPr>
        <w:t>-</w:t>
      </w:r>
      <w:r w:rsidRPr="0073349D">
        <w:rPr>
          <w:rFonts w:ascii="宋体" w:eastAsia="宋体" w:hAnsi="宋体" w:cs="宋体" w:hint="eastAsia"/>
        </w:rPr>
        <w:t>）的项目加总时应做减法运算，如：生产税净额合计</w:t>
      </w:r>
      <w:r w:rsidRPr="0073349D">
        <w:rPr>
          <w:rFonts w:ascii="宋体" w:eastAsia="宋体" w:hAnsi="宋体" w:cs="宋体"/>
        </w:rPr>
        <w:t>=</w:t>
      </w:r>
      <w:r w:rsidRPr="0073349D">
        <w:rPr>
          <w:rFonts w:ascii="宋体" w:eastAsia="宋体" w:hAnsi="宋体" w:cs="宋体" w:hint="eastAsia"/>
        </w:rPr>
        <w:t>水电费中所包含的各项税金</w:t>
      </w:r>
      <w:r w:rsidRPr="0073349D">
        <w:rPr>
          <w:rFonts w:ascii="宋体" w:eastAsia="宋体" w:hAnsi="宋体" w:cs="宋体"/>
        </w:rPr>
        <w:t>+</w:t>
      </w:r>
      <w:r w:rsidRPr="0073349D">
        <w:rPr>
          <w:rFonts w:ascii="宋体" w:eastAsia="宋体" w:hAnsi="宋体" w:cs="宋体" w:hint="eastAsia"/>
        </w:rPr>
        <w:t>主营业务税金及附加</w:t>
      </w:r>
      <w:r w:rsidRPr="0073349D">
        <w:rPr>
          <w:rFonts w:ascii="宋体" w:eastAsia="宋体" w:hAnsi="宋体" w:cs="宋体"/>
        </w:rPr>
        <w:t>+</w:t>
      </w:r>
      <w:r w:rsidRPr="0073349D">
        <w:rPr>
          <w:rFonts w:ascii="宋体" w:eastAsia="宋体" w:hAnsi="宋体" w:cs="宋体" w:hint="eastAsia"/>
        </w:rPr>
        <w:t>本年应交增值税</w:t>
      </w:r>
      <w:r w:rsidRPr="0073349D">
        <w:rPr>
          <w:rFonts w:ascii="宋体" w:eastAsia="宋体" w:hAnsi="宋体" w:cs="宋体"/>
        </w:rPr>
        <w:t>-</w:t>
      </w:r>
      <w:r w:rsidRPr="0073349D">
        <w:rPr>
          <w:rFonts w:ascii="宋体" w:eastAsia="宋体" w:hAnsi="宋体" w:cs="宋体" w:hint="eastAsia"/>
        </w:rPr>
        <w:t>补贴收入。</w:t>
      </w:r>
    </w:p>
    <w:p w:rsidR="008E1DC9" w:rsidRPr="0073349D" w:rsidRDefault="008E1DC9" w:rsidP="009A608D">
      <w:pPr>
        <w:rPr>
          <w:rFonts w:ascii="宋体" w:eastAsia="宋体" w:hAnsi="宋体" w:cs="Times New Roman"/>
        </w:rPr>
      </w:pPr>
      <w:r w:rsidRPr="0073349D">
        <w:rPr>
          <w:rFonts w:ascii="宋体" w:eastAsia="宋体" w:hAnsi="宋体" w:cs="宋体" w:hint="eastAsia"/>
        </w:rPr>
        <w:t>（</w:t>
      </w:r>
      <w:r w:rsidR="0073349D" w:rsidRPr="0073349D">
        <w:rPr>
          <w:rFonts w:ascii="宋体" w:eastAsia="宋体" w:hAnsi="宋体" w:cs="宋体" w:hint="eastAsia"/>
        </w:rPr>
        <w:t>四）</w:t>
      </w:r>
      <w:r w:rsidRPr="0073349D">
        <w:rPr>
          <w:rFonts w:ascii="宋体" w:eastAsia="宋体" w:hAnsi="宋体" w:cs="宋体" w:hint="eastAsia"/>
        </w:rPr>
        <w:t>增速一栏中有</w:t>
      </w:r>
      <w:r w:rsidRPr="0073349D">
        <w:rPr>
          <w:rFonts w:ascii="宋体" w:eastAsia="宋体" w:hAnsi="宋体" w:cs="Times New Roman"/>
        </w:rPr>
        <w:t>“</w:t>
      </w:r>
      <w:r w:rsidR="0073349D" w:rsidRPr="0073349D">
        <w:rPr>
          <w:rFonts w:ascii="宋体" w:eastAsia="宋体" w:hAnsi="宋体" w:cs="宋体" w:hint="eastAsia"/>
        </w:rPr>
        <w:t>——</w:t>
      </w:r>
      <w:r w:rsidRPr="0073349D">
        <w:rPr>
          <w:rFonts w:ascii="宋体" w:eastAsia="宋体" w:hAnsi="宋体" w:cs="宋体" w:hint="eastAsia"/>
        </w:rPr>
        <w:t>”的项目不用填写。</w:t>
      </w:r>
    </w:p>
    <w:p w:rsidR="008E1DC9" w:rsidRPr="00183BA9" w:rsidRDefault="008E1DC9" w:rsidP="009A608D">
      <w:pPr>
        <w:rPr>
          <w:rFonts w:ascii="宋体" w:eastAsia="宋体" w:hAnsi="宋体" w:cs="Times New Roman"/>
        </w:rPr>
      </w:pPr>
      <w:r w:rsidRPr="0073349D">
        <w:rPr>
          <w:rFonts w:ascii="宋体" w:eastAsia="宋体" w:hAnsi="宋体" w:cs="宋体" w:hint="eastAsia"/>
        </w:rPr>
        <w:t>（</w:t>
      </w:r>
      <w:r w:rsidR="0073349D" w:rsidRPr="0073349D">
        <w:rPr>
          <w:rFonts w:ascii="宋体" w:eastAsia="宋体" w:hAnsi="宋体" w:cs="宋体" w:hint="eastAsia"/>
        </w:rPr>
        <w:t>五</w:t>
      </w:r>
      <w:r w:rsidRPr="0073349D">
        <w:rPr>
          <w:rFonts w:ascii="宋体" w:eastAsia="宋体" w:hAnsi="宋体" w:cs="宋体" w:hint="eastAsia"/>
        </w:rPr>
        <w:t>）该表仅用于企业工业增加值的初步核算，</w:t>
      </w:r>
      <w:r w:rsidR="0073349D" w:rsidRPr="0073349D">
        <w:rPr>
          <w:rFonts w:ascii="宋体" w:eastAsia="宋体" w:hAnsi="宋体" w:cs="宋体" w:hint="eastAsia"/>
        </w:rPr>
        <w:t>不作为企业</w:t>
      </w:r>
      <w:r w:rsidR="0073349D">
        <w:rPr>
          <w:rFonts w:ascii="宋体" w:eastAsia="宋体" w:hAnsi="宋体" w:cs="宋体" w:hint="eastAsia"/>
        </w:rPr>
        <w:t>能</w:t>
      </w:r>
      <w:r w:rsidR="0073349D" w:rsidRPr="0073349D">
        <w:rPr>
          <w:rFonts w:ascii="宋体" w:eastAsia="宋体" w:hAnsi="宋体" w:cs="宋体" w:hint="eastAsia"/>
        </w:rPr>
        <w:t>否获得资助的测算依据，</w:t>
      </w:r>
      <w:r w:rsidRPr="0073349D">
        <w:rPr>
          <w:rFonts w:ascii="宋体" w:eastAsia="宋体" w:hAnsi="宋体" w:cs="宋体" w:hint="eastAsia"/>
        </w:rPr>
        <w:t>实际增速和增量以统计局最终核算数为准</w:t>
      </w:r>
      <w:r w:rsidRPr="00183BA9">
        <w:rPr>
          <w:rFonts w:ascii="宋体" w:eastAsia="宋体" w:hAnsi="宋体" w:cs="宋体" w:hint="eastAsia"/>
        </w:rPr>
        <w:t>。</w:t>
      </w:r>
    </w:p>
    <w:p w:rsidR="008E1DC9" w:rsidRPr="00183BA9" w:rsidRDefault="008E1DC9" w:rsidP="00ED5D89">
      <w:pPr>
        <w:jc w:val="left"/>
        <w:rPr>
          <w:rFonts w:ascii="宋体" w:eastAsia="宋体" w:hAnsi="宋体" w:cs="Times New Roman"/>
          <w:b/>
          <w:bCs/>
        </w:rPr>
      </w:pPr>
    </w:p>
    <w:sectPr w:rsidR="008E1DC9" w:rsidRPr="00183BA9" w:rsidSect="004A75D5">
      <w:pgSz w:w="11906" w:h="16838"/>
      <w:pgMar w:top="851" w:right="1418" w:bottom="85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A2" w:rsidRDefault="009C6FA2" w:rsidP="001037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6FA2" w:rsidRDefault="009C6FA2" w:rsidP="001037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A2" w:rsidRDefault="009C6FA2" w:rsidP="001037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6FA2" w:rsidRDefault="009C6FA2" w:rsidP="001037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009"/>
    <w:multiLevelType w:val="hybridMultilevel"/>
    <w:tmpl w:val="0EE8497C"/>
    <w:lvl w:ilvl="0" w:tplc="76E0DA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45117A"/>
    <w:multiLevelType w:val="hybridMultilevel"/>
    <w:tmpl w:val="21A06F88"/>
    <w:lvl w:ilvl="0" w:tplc="A080CF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6B1B9F"/>
    <w:multiLevelType w:val="hybridMultilevel"/>
    <w:tmpl w:val="EA9E5B8E"/>
    <w:lvl w:ilvl="0" w:tplc="4546F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DD4"/>
    <w:rsid w:val="000216F6"/>
    <w:rsid w:val="0007627B"/>
    <w:rsid w:val="000A3435"/>
    <w:rsid w:val="000D710B"/>
    <w:rsid w:val="000F182E"/>
    <w:rsid w:val="0010160E"/>
    <w:rsid w:val="001037B7"/>
    <w:rsid w:val="00183BA9"/>
    <w:rsid w:val="001C7ED6"/>
    <w:rsid w:val="001D2C9A"/>
    <w:rsid w:val="001E13A3"/>
    <w:rsid w:val="00235E8C"/>
    <w:rsid w:val="00274841"/>
    <w:rsid w:val="002A76B3"/>
    <w:rsid w:val="002E6D4E"/>
    <w:rsid w:val="003D230F"/>
    <w:rsid w:val="004369EB"/>
    <w:rsid w:val="004516CC"/>
    <w:rsid w:val="00473506"/>
    <w:rsid w:val="004A75D5"/>
    <w:rsid w:val="00503568"/>
    <w:rsid w:val="005A3D8E"/>
    <w:rsid w:val="005C151F"/>
    <w:rsid w:val="00603093"/>
    <w:rsid w:val="00651666"/>
    <w:rsid w:val="00662CCA"/>
    <w:rsid w:val="006C795B"/>
    <w:rsid w:val="006F1C9C"/>
    <w:rsid w:val="00720B90"/>
    <w:rsid w:val="0073349D"/>
    <w:rsid w:val="007517C3"/>
    <w:rsid w:val="00831230"/>
    <w:rsid w:val="00843AC3"/>
    <w:rsid w:val="00863C97"/>
    <w:rsid w:val="00867D4A"/>
    <w:rsid w:val="008A26E5"/>
    <w:rsid w:val="008E1DC9"/>
    <w:rsid w:val="008F2AC3"/>
    <w:rsid w:val="00903569"/>
    <w:rsid w:val="00947E47"/>
    <w:rsid w:val="009A608D"/>
    <w:rsid w:val="009C6FA2"/>
    <w:rsid w:val="00A13134"/>
    <w:rsid w:val="00A327E8"/>
    <w:rsid w:val="00A70D68"/>
    <w:rsid w:val="00A73AA8"/>
    <w:rsid w:val="00AB455A"/>
    <w:rsid w:val="00AF258E"/>
    <w:rsid w:val="00B0092F"/>
    <w:rsid w:val="00B205D4"/>
    <w:rsid w:val="00B326A1"/>
    <w:rsid w:val="00B421B0"/>
    <w:rsid w:val="00B71FE9"/>
    <w:rsid w:val="00C564D6"/>
    <w:rsid w:val="00CE57C6"/>
    <w:rsid w:val="00CF0A82"/>
    <w:rsid w:val="00D15973"/>
    <w:rsid w:val="00D32DD4"/>
    <w:rsid w:val="00D91AAC"/>
    <w:rsid w:val="00DA498A"/>
    <w:rsid w:val="00DD0409"/>
    <w:rsid w:val="00EC6135"/>
    <w:rsid w:val="00ED5D89"/>
    <w:rsid w:val="00F057BC"/>
    <w:rsid w:val="00FC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A8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356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103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1037B7"/>
    <w:rPr>
      <w:sz w:val="18"/>
      <w:szCs w:val="18"/>
    </w:rPr>
  </w:style>
  <w:style w:type="paragraph" w:styleId="a5">
    <w:name w:val="footer"/>
    <w:basedOn w:val="a"/>
    <w:link w:val="Char0"/>
    <w:uiPriority w:val="99"/>
    <w:rsid w:val="00103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037B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7517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517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Yue</dc:creator>
  <cp:lastModifiedBy>曾晓燕</cp:lastModifiedBy>
  <cp:revision>2</cp:revision>
  <cp:lastPrinted>2016-07-28T06:58:00Z</cp:lastPrinted>
  <dcterms:created xsi:type="dcterms:W3CDTF">2017-03-28T09:28:00Z</dcterms:created>
  <dcterms:modified xsi:type="dcterms:W3CDTF">2017-03-28T09:28:00Z</dcterms:modified>
</cp:coreProperties>
</file>